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8FD" w:rsidRPr="00ED3047" w:rsidRDefault="009168FD" w:rsidP="00ED3047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kern w:val="0"/>
          <w:sz w:val="36"/>
          <w:szCs w:val="28"/>
        </w:rPr>
      </w:pPr>
      <w:r w:rsidRPr="00ED3047">
        <w:rPr>
          <w:rFonts w:ascii="Times New Roman" w:eastAsia="標楷體" w:hAnsi="Times New Roman" w:cs="Times New Roman"/>
          <w:b/>
          <w:kern w:val="0"/>
          <w:sz w:val="36"/>
          <w:szCs w:val="28"/>
        </w:rPr>
        <w:t>院、系、所、學位</w:t>
      </w:r>
      <w:proofErr w:type="gramStart"/>
      <w:r w:rsidRPr="00ED3047">
        <w:rPr>
          <w:rFonts w:ascii="Times New Roman" w:eastAsia="標楷體" w:hAnsi="Times New Roman" w:cs="Times New Roman"/>
          <w:b/>
          <w:kern w:val="0"/>
          <w:sz w:val="36"/>
          <w:szCs w:val="28"/>
        </w:rPr>
        <w:t>學程</w:t>
      </w:r>
      <w:r w:rsidR="00ED3047">
        <w:rPr>
          <w:rFonts w:ascii="Times New Roman" w:eastAsia="標楷體" w:hAnsi="Times New Roman" w:cs="Times New Roman" w:hint="eastAsia"/>
          <w:b/>
          <w:kern w:val="0"/>
          <w:sz w:val="36"/>
          <w:szCs w:val="28"/>
        </w:rPr>
        <w:t>增設</w:t>
      </w:r>
      <w:proofErr w:type="gramEnd"/>
      <w:r w:rsidR="00ED3047">
        <w:rPr>
          <w:rFonts w:ascii="Times New Roman" w:eastAsia="標楷體" w:hAnsi="Times New Roman" w:cs="Times New Roman" w:hint="eastAsia"/>
          <w:b/>
          <w:kern w:val="0"/>
          <w:sz w:val="36"/>
          <w:szCs w:val="28"/>
        </w:rPr>
        <w:t>及調整</w:t>
      </w:r>
      <w:r w:rsidRPr="00ED3047">
        <w:rPr>
          <w:rFonts w:ascii="Times New Roman" w:eastAsia="標楷體" w:hAnsi="Times New Roman" w:cs="Times New Roman"/>
          <w:b/>
          <w:kern w:val="0"/>
          <w:sz w:val="36"/>
          <w:szCs w:val="28"/>
        </w:rPr>
        <w:t>規劃</w:t>
      </w:r>
      <w:r w:rsidRPr="00ED3047">
        <w:rPr>
          <w:rFonts w:ascii="Times New Roman" w:eastAsia="標楷體" w:hAnsi="Times New Roman" w:cs="Times New Roman"/>
          <w:b/>
          <w:kern w:val="0"/>
          <w:sz w:val="36"/>
          <w:szCs w:val="28"/>
        </w:rPr>
        <w:t>說明</w:t>
      </w:r>
    </w:p>
    <w:p w:rsidR="009168FD" w:rsidRPr="00ED3047" w:rsidRDefault="009168FD" w:rsidP="009168FD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 w:val="22"/>
          <w:szCs w:val="28"/>
        </w:rPr>
      </w:pPr>
      <w:r w:rsidRPr="00ED3047">
        <w:rPr>
          <w:rFonts w:ascii="Times New Roman" w:eastAsia="標楷體" w:hAnsi="Times New Roman" w:cs="Times New Roman"/>
          <w:b/>
          <w:kern w:val="0"/>
          <w:sz w:val="22"/>
          <w:szCs w:val="28"/>
        </w:rPr>
        <w:t>（摘錄自教育部</w:t>
      </w:r>
      <w:r w:rsidRPr="00ED3047">
        <w:rPr>
          <w:rFonts w:ascii="Times New Roman" w:eastAsia="標楷體" w:hAnsi="Times New Roman" w:cs="Times New Roman"/>
          <w:b/>
          <w:kern w:val="0"/>
          <w:sz w:val="22"/>
          <w:szCs w:val="28"/>
        </w:rPr>
        <w:t>108</w:t>
      </w:r>
      <w:r w:rsidRPr="00ED3047">
        <w:rPr>
          <w:rFonts w:ascii="Times New Roman" w:eastAsia="標楷體" w:hAnsi="Times New Roman" w:cs="Times New Roman"/>
          <w:b/>
          <w:kern w:val="0"/>
          <w:sz w:val="22"/>
          <w:szCs w:val="28"/>
        </w:rPr>
        <w:t>學年度增設調整院系所學位學程及招生名額總量提報作業手冊）</w:t>
      </w:r>
    </w:p>
    <w:p w:rsidR="009168FD" w:rsidRPr="00ED3047" w:rsidRDefault="009168FD" w:rsidP="009168FD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9168FD" w:rsidRPr="00ED3047" w:rsidRDefault="009168FD" w:rsidP="009168FD">
      <w:pPr>
        <w:pStyle w:val="a3"/>
        <w:numPr>
          <w:ilvl w:val="2"/>
          <w:numId w:val="1"/>
        </w:numPr>
        <w:autoSpaceDE w:val="0"/>
        <w:autoSpaceDN w:val="0"/>
        <w:adjustRightInd w:val="0"/>
        <w:ind w:leftChars="0" w:left="993" w:hanging="993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D3047"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</w:rPr>
        <w:t>特殊項目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院、系、所、學位學程如下：</w:t>
      </w:r>
    </w:p>
    <w:p w:rsidR="009168FD" w:rsidRPr="00ED3047" w:rsidRDefault="009168FD" w:rsidP="009168FD">
      <w:pPr>
        <w:pStyle w:val="a3"/>
        <w:numPr>
          <w:ilvl w:val="3"/>
          <w:numId w:val="4"/>
        </w:numPr>
        <w:autoSpaceDE w:val="0"/>
        <w:autoSpaceDN w:val="0"/>
        <w:adjustRightInd w:val="0"/>
        <w:ind w:leftChars="0" w:left="851" w:hanging="42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D3047"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</w:rPr>
        <w:t>博士班增設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含既有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博士班擬轉型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為跨院、系、所性質之學院博士班或博士學位學程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或</w:t>
      </w:r>
      <w:r w:rsidRPr="00ED3047"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</w:rPr>
        <w:t>涉及領域變更之調整案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9168FD" w:rsidRPr="00ED3047" w:rsidRDefault="009168FD" w:rsidP="00ED3047">
      <w:pPr>
        <w:pStyle w:val="a3"/>
        <w:numPr>
          <w:ilvl w:val="3"/>
          <w:numId w:val="4"/>
        </w:numPr>
        <w:autoSpaceDE w:val="0"/>
        <w:autoSpaceDN w:val="0"/>
        <w:adjustRightInd w:val="0"/>
        <w:ind w:leftChars="0" w:left="851" w:hanging="425"/>
        <w:rPr>
          <w:rFonts w:ascii="Times New Roman" w:eastAsia="標楷體" w:hAnsi="Times New Roman" w:cs="Times New Roman"/>
          <w:kern w:val="0"/>
          <w:sz w:val="28"/>
          <w:szCs w:val="28"/>
        </w:rPr>
      </w:pP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醫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事相關類科分述如下：</w:t>
      </w:r>
    </w:p>
    <w:p w:rsidR="00ED3047" w:rsidRPr="00ED3047" w:rsidRDefault="009168FD" w:rsidP="00ED3047">
      <w:pPr>
        <w:pStyle w:val="a3"/>
        <w:numPr>
          <w:ilvl w:val="0"/>
          <w:numId w:val="5"/>
        </w:numPr>
        <w:autoSpaceDE w:val="0"/>
        <w:autoSpaceDN w:val="0"/>
        <w:adjustRightInd w:val="0"/>
        <w:ind w:leftChars="0" w:left="993" w:hanging="42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屬碩士班增設、調整案：臨床心理師（臨床心理、行為醫學相關研究所）、諮商心理師（諮商心理相關研究所）、獸醫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校內未設有獸醫學系，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但欲申設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獸醫研究所、獸醫碩士學位學程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）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之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碩士班案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9168FD" w:rsidRPr="00ED3047" w:rsidRDefault="009168FD" w:rsidP="00ED3047">
      <w:pPr>
        <w:pStyle w:val="a3"/>
        <w:numPr>
          <w:ilvl w:val="0"/>
          <w:numId w:val="5"/>
        </w:numPr>
        <w:autoSpaceDE w:val="0"/>
        <w:autoSpaceDN w:val="0"/>
        <w:adjustRightInd w:val="0"/>
        <w:ind w:leftChars="0" w:left="993" w:hanging="42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屬學士班增設、調整案：醫師（醫學系）、中醫師（中醫學）、牙醫師（牙醫學系）、護理師（護理學系）、藥師（藥學系）、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醫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事檢驗師（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醫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事檢驗相關學系）、物理治療師（物理治療、復健學系）、職能治療師（職能治療、復健學系）、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醫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事放射師（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醫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事放射相關學系）、牙體技術師（牙體技術學系）、獸醫（獸醫、畜牧獸醫學系）、驗光師（視光學系）。</w:t>
      </w:r>
    </w:p>
    <w:p w:rsidR="009168FD" w:rsidRPr="00ED3047" w:rsidRDefault="009168FD" w:rsidP="00ED3047">
      <w:pPr>
        <w:pStyle w:val="a3"/>
        <w:numPr>
          <w:ilvl w:val="0"/>
          <w:numId w:val="5"/>
        </w:numPr>
        <w:autoSpaceDE w:val="0"/>
        <w:autoSpaceDN w:val="0"/>
        <w:adjustRightInd w:val="0"/>
        <w:ind w:leftChars="0" w:left="993" w:hanging="42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C. 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屬含碩士班或學士班增設、調整案：助產師（助產學系、所）、營養師（營養相關學系、所）、呼吸治療師（呼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>吸治療、呼吸照護學系、所）、語言治療師（語言治療、溝通障礙學系、所）、聽力師（聽力、溝通障礙學系、所）。</w:t>
      </w:r>
    </w:p>
    <w:p w:rsidR="00271ED8" w:rsidRPr="00ED3047" w:rsidRDefault="009168FD" w:rsidP="00ED3047">
      <w:pPr>
        <w:pStyle w:val="a3"/>
        <w:numPr>
          <w:ilvl w:val="3"/>
          <w:numId w:val="4"/>
        </w:numPr>
        <w:autoSpaceDE w:val="0"/>
        <w:autoSpaceDN w:val="0"/>
        <w:adjustRightInd w:val="0"/>
        <w:ind w:leftChars="0" w:left="851" w:hanging="42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學校申請新設「學士班大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ㄧ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不分系」或「學士班大一大二不分系」須一併說明分流科系或學士學位學程，招生名額由既有學士班招生名額自行調整，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不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另核給名額。</w:t>
      </w:r>
      <w:bookmarkStart w:id="0" w:name="_GoBack"/>
      <w:bookmarkEnd w:id="0"/>
    </w:p>
    <w:p w:rsidR="009168FD" w:rsidRPr="00ED3047" w:rsidRDefault="009168FD" w:rsidP="00ED3047">
      <w:pPr>
        <w:pStyle w:val="a3"/>
        <w:numPr>
          <w:ilvl w:val="2"/>
          <w:numId w:val="1"/>
        </w:numPr>
        <w:autoSpaceDE w:val="0"/>
        <w:autoSpaceDN w:val="0"/>
        <w:adjustRightInd w:val="0"/>
        <w:ind w:leftChars="0" w:left="993" w:hanging="993"/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</w:rPr>
      </w:pPr>
      <w:r w:rsidRPr="00ED3047"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</w:rPr>
        <w:t>學院及各學制班別之設立條件</w:t>
      </w:r>
    </w:p>
    <w:p w:rsidR="009168FD" w:rsidRPr="00ED3047" w:rsidRDefault="009168FD" w:rsidP="00ED3047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177" w:left="705" w:hangingChars="100" w:hanging="28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申請設立或調整未涉及對外招生之學院：</w:t>
      </w:r>
    </w:p>
    <w:p w:rsidR="009168FD" w:rsidRPr="00ED3047" w:rsidRDefault="009168FD" w:rsidP="00ED3047">
      <w:pPr>
        <w:pStyle w:val="a3"/>
        <w:numPr>
          <w:ilvl w:val="3"/>
          <w:numId w:val="1"/>
        </w:numPr>
        <w:autoSpaceDE w:val="0"/>
        <w:autoSpaceDN w:val="0"/>
        <w:adjustRightInd w:val="0"/>
        <w:ind w:leftChars="0" w:left="1276" w:hanging="567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規定提報時間如下：</w:t>
      </w:r>
    </w:p>
    <w:p w:rsidR="009168FD" w:rsidRPr="00ED3047" w:rsidRDefault="009168FD" w:rsidP="00ED3047">
      <w:pPr>
        <w:pStyle w:val="a3"/>
        <w:numPr>
          <w:ilvl w:val="0"/>
          <w:numId w:val="7"/>
        </w:numPr>
        <w:autoSpaceDE w:val="0"/>
        <w:autoSpaceDN w:val="0"/>
        <w:adjustRightInd w:val="0"/>
        <w:ind w:leftChars="0" w:left="1560" w:hanging="42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申請第</w:t>
      </w:r>
      <w:r w:rsidR="00ED3047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ED3047">
        <w:rPr>
          <w:rFonts w:ascii="Times New Roman" w:eastAsia="標楷體" w:hAnsi="Times New Roman" w:cs="Times New Roman" w:hint="eastAsia"/>
          <w:kern w:val="0"/>
          <w:sz w:val="28"/>
          <w:szCs w:val="28"/>
        </w:rPr>
        <w:t>學</w:t>
      </w:r>
      <w:r w:rsidR="00ED3047">
        <w:rPr>
          <w:rFonts w:ascii="Times New Roman" w:eastAsia="標楷體" w:hAnsi="Times New Roman" w:cs="Times New Roman"/>
          <w:kern w:val="0"/>
          <w:sz w:val="28"/>
          <w:szCs w:val="28"/>
        </w:rPr>
        <w:t>期設立或調整之學院，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於當年度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日至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4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30</w:t>
      </w:r>
      <w:r w:rsidR="00ED3047">
        <w:rPr>
          <w:rFonts w:ascii="Times New Roman" w:eastAsia="標楷體" w:hAnsi="Times New Roman" w:cs="Times New Roman"/>
          <w:kern w:val="0"/>
          <w:sz w:val="28"/>
          <w:szCs w:val="28"/>
        </w:rPr>
        <w:t>前</w:t>
      </w:r>
      <w:r w:rsidR="00ED3047">
        <w:rPr>
          <w:rFonts w:ascii="Times New Roman" w:eastAsia="標楷體" w:hAnsi="Times New Roman" w:cs="Times New Roman" w:hint="eastAsia"/>
          <w:kern w:val="0"/>
          <w:sz w:val="28"/>
          <w:szCs w:val="28"/>
        </w:rPr>
        <w:t>報教育部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9168FD" w:rsidRPr="00ED3047" w:rsidRDefault="009168FD" w:rsidP="00C4632E">
      <w:pPr>
        <w:pStyle w:val="a3"/>
        <w:numPr>
          <w:ilvl w:val="0"/>
          <w:numId w:val="7"/>
        </w:numPr>
        <w:autoSpaceDE w:val="0"/>
        <w:autoSpaceDN w:val="0"/>
        <w:adjustRightInd w:val="0"/>
        <w:ind w:leftChars="0" w:left="1560" w:hanging="42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申請第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2 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學期設立或調整之學院，請於前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1 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年度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10 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1 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日至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11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30</w:t>
      </w:r>
      <w:r w:rsidR="00ED3047">
        <w:rPr>
          <w:rFonts w:ascii="Times New Roman" w:eastAsia="標楷體" w:hAnsi="Times New Roman" w:cs="Times New Roman"/>
          <w:kern w:val="0"/>
          <w:sz w:val="28"/>
          <w:szCs w:val="28"/>
        </w:rPr>
        <w:t>日前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報</w:t>
      </w:r>
      <w:r w:rsidR="00ED3047">
        <w:rPr>
          <w:rFonts w:ascii="Times New Roman" w:eastAsia="標楷體" w:hAnsi="Times New Roman" w:cs="Times New Roman" w:hint="eastAsia"/>
          <w:kern w:val="0"/>
          <w:sz w:val="28"/>
          <w:szCs w:val="28"/>
        </w:rPr>
        <w:t>教育部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9168FD" w:rsidRPr="00ED3047" w:rsidRDefault="009168FD" w:rsidP="00ED3047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177" w:left="705" w:hangingChars="100" w:hanging="28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申請增設調整師資培育、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醫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事相關與其他涉及政府機關訂有人才培育機制之院系所與學位學程，以及增設與調整博士班等，學校應循特殊項目提報規定，提送申請計畫書到部專案審查（碩</w:t>
      </w:r>
      <w:r w:rsidR="00ED3047">
        <w:rPr>
          <w:rFonts w:ascii="Times New Roman" w:eastAsia="標楷體" w:hAnsi="Times New Roman" w:cs="Times New Roman"/>
          <w:kern w:val="0"/>
          <w:sz w:val="28"/>
          <w:szCs w:val="28"/>
        </w:rPr>
        <w:t>士班含碩士在職專班應提送簡版計畫書）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9168FD" w:rsidRPr="00ED3047" w:rsidRDefault="009168FD" w:rsidP="00ED3047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177" w:left="705" w:hangingChars="100" w:hanging="28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增設、調整未涉及對外招生之學院、學位學程應具備足夠規模之師資、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圖儀設備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及空間，以推動學院或所屬系、所、學位學程之教學、研究及推廣服務，並應統整校內該領域之發展，並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>符合科際整合之趨勢。</w:t>
      </w:r>
    </w:p>
    <w:p w:rsidR="009168FD" w:rsidRPr="00ED3047" w:rsidRDefault="009168FD" w:rsidP="00ED3047">
      <w:pPr>
        <w:pStyle w:val="a3"/>
        <w:numPr>
          <w:ilvl w:val="2"/>
          <w:numId w:val="1"/>
        </w:numPr>
        <w:autoSpaceDE w:val="0"/>
        <w:autoSpaceDN w:val="0"/>
        <w:adjustRightInd w:val="0"/>
        <w:ind w:leftChars="0" w:left="993" w:hanging="993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ED3047"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</w:rPr>
        <w:t>增設及調整相關名詞界定</w:t>
      </w:r>
    </w:p>
    <w:p w:rsidR="009168FD" w:rsidRPr="00ED3047" w:rsidRDefault="009168FD" w:rsidP="00ED3047">
      <w:pPr>
        <w:pStyle w:val="a3"/>
        <w:numPr>
          <w:ilvl w:val="0"/>
          <w:numId w:val="8"/>
        </w:numPr>
        <w:autoSpaceDE w:val="0"/>
        <w:autoSpaceDN w:val="0"/>
        <w:adjustRightInd w:val="0"/>
        <w:ind w:leftChars="0" w:left="993" w:hanging="28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未涉及對外招生之學院、學位學程</w:t>
      </w:r>
    </w:p>
    <w:p w:rsidR="009168FD" w:rsidRPr="00ED3047" w:rsidRDefault="009168FD" w:rsidP="00ED3047">
      <w:pPr>
        <w:pStyle w:val="a3"/>
        <w:numPr>
          <w:ilvl w:val="3"/>
          <w:numId w:val="1"/>
        </w:numPr>
        <w:autoSpaceDE w:val="0"/>
        <w:autoSpaceDN w:val="0"/>
        <w:adjustRightInd w:val="0"/>
        <w:ind w:leftChars="0" w:left="1276" w:hanging="42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未涉及對外招生之學院：指於校內增加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一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學院且未以學院名義對外招生，例如增設光電學院，但非直接以光電學院名義對外招生，而是由光電學院下之系所招生，光電學院僅為學術單位。</w:t>
      </w:r>
    </w:p>
    <w:p w:rsidR="009168FD" w:rsidRPr="00ED3047" w:rsidRDefault="009168FD" w:rsidP="00ED3047">
      <w:pPr>
        <w:pStyle w:val="a3"/>
        <w:numPr>
          <w:ilvl w:val="3"/>
          <w:numId w:val="1"/>
        </w:numPr>
        <w:autoSpaceDE w:val="0"/>
        <w:autoSpaceDN w:val="0"/>
        <w:adjustRightInd w:val="0"/>
        <w:ind w:leftChars="0" w:left="1276" w:hanging="42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未涉及對外招生之學位學程：對內在學學生轉入或雙主修提供之學位學程，應經校務會議通過實施，並報本部備查。有關學位學程，得參考大學法施行細則第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10 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條；學分學程注意事項，得參考及大學法施行細則第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9 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條。</w:t>
      </w:r>
    </w:p>
    <w:p w:rsidR="009168FD" w:rsidRPr="00ED3047" w:rsidRDefault="009168FD" w:rsidP="00ED3047">
      <w:pPr>
        <w:pStyle w:val="a3"/>
        <w:numPr>
          <w:ilvl w:val="0"/>
          <w:numId w:val="8"/>
        </w:numPr>
        <w:autoSpaceDE w:val="0"/>
        <w:autoSpaceDN w:val="0"/>
        <w:adjustRightInd w:val="0"/>
        <w:ind w:leftChars="0" w:left="993" w:hanging="28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新增院、系、所、學位學程：指新設原先學校沒有之院、系、所、學位學程。例如：</w:t>
      </w:r>
    </w:p>
    <w:p w:rsidR="009168FD" w:rsidRPr="00ED3047" w:rsidRDefault="009168FD" w:rsidP="00ED3047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 w:left="1418" w:hanging="458"/>
        <w:rPr>
          <w:rFonts w:ascii="Times New Roman" w:eastAsia="標楷體" w:hAnsi="Times New Roman" w:cs="Times New Roman"/>
          <w:kern w:val="0"/>
          <w:sz w:val="28"/>
          <w:szCs w:val="28"/>
        </w:rPr>
      </w:pP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甲校無文學院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或中文學系，申請直接設立中文研究所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亦即大學單獨設研究所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9168FD" w:rsidRPr="00ED3047" w:rsidRDefault="009168FD" w:rsidP="00ED3047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 w:left="1418" w:hanging="45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甲校有文學院無中文系所，文學院申請設立中文研究所或中文學系。</w:t>
      </w:r>
    </w:p>
    <w:p w:rsidR="009168FD" w:rsidRPr="00ED3047" w:rsidRDefault="009168FD" w:rsidP="00ED3047">
      <w:pPr>
        <w:pStyle w:val="a3"/>
        <w:numPr>
          <w:ilvl w:val="0"/>
          <w:numId w:val="8"/>
        </w:numPr>
        <w:autoSpaceDE w:val="0"/>
        <w:autoSpaceDN w:val="0"/>
        <w:adjustRightInd w:val="0"/>
        <w:ind w:leftChars="0" w:left="993" w:hanging="28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新增班別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次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：指既有院、系、所、學位學程新設學士班、進修學士班、學士二年制在職專班、碩士班、碩士在職專班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>或博士班。例如：</w:t>
      </w:r>
    </w:p>
    <w:p w:rsidR="009168FD" w:rsidRPr="00ED3047" w:rsidRDefault="009168FD" w:rsidP="00ED3047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 w:left="1418" w:hanging="42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A 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學系原本只有學士班，申請設立進修學士班。</w:t>
      </w:r>
    </w:p>
    <w:p w:rsidR="009168FD" w:rsidRPr="00ED3047" w:rsidRDefault="009168FD" w:rsidP="00ED3047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 w:left="1418" w:hanging="42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B 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研究所原本只有碩士班，申請設立碩士在職專班；或設立另一碩士班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（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如：物理治療學系原本有碩士班，另申請設立復健科學碩士班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）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9168FD" w:rsidRPr="00ED3047" w:rsidRDefault="009168FD" w:rsidP="00ED3047">
      <w:pPr>
        <w:pStyle w:val="a3"/>
        <w:numPr>
          <w:ilvl w:val="0"/>
          <w:numId w:val="8"/>
        </w:numPr>
        <w:autoSpaceDE w:val="0"/>
        <w:autoSpaceDN w:val="0"/>
        <w:adjustRightInd w:val="0"/>
        <w:ind w:leftChars="0" w:left="993" w:hanging="28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分組：係指學籍分組，將單一院、系、所、學位學程，區分為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2 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個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以上之組別。其學籍分開處理，並應於畢業證書登載組別，非一般招生分組或教學分組。例如：政治學系申請自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108 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學年度起分為政治理論、公共行政及國際關係三組，則自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108 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學年度起入學之新生，未來畢業證書即可登載「政治學系國際關係組」等字樣。另學校為招生選才或教學授課之便，未經本部核定所進行之分組，不得於畢業證書登載組別。</w:t>
      </w:r>
    </w:p>
    <w:p w:rsidR="009168FD" w:rsidRPr="00ED3047" w:rsidRDefault="009168FD" w:rsidP="00ED3047">
      <w:pPr>
        <w:pStyle w:val="a3"/>
        <w:numPr>
          <w:ilvl w:val="0"/>
          <w:numId w:val="8"/>
        </w:numPr>
        <w:autoSpaceDE w:val="0"/>
        <w:autoSpaceDN w:val="0"/>
        <w:adjustRightInd w:val="0"/>
        <w:ind w:leftChars="0" w:left="993" w:hanging="28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整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併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：指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1 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個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以上之既有系、所，整合至另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1 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個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既有系、所。例如：</w:t>
      </w:r>
    </w:p>
    <w:p w:rsidR="009168FD" w:rsidRPr="00ED3047" w:rsidRDefault="009168FD" w:rsidP="00ED3047">
      <w:pPr>
        <w:pStyle w:val="a3"/>
        <w:numPr>
          <w:ilvl w:val="0"/>
          <w:numId w:val="12"/>
        </w:numPr>
        <w:autoSpaceDE w:val="0"/>
        <w:autoSpaceDN w:val="0"/>
        <w:adjustRightInd w:val="0"/>
        <w:ind w:leftChars="0" w:left="1418" w:hanging="45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A 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學系＋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B 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學系＝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A(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或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B)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學系。</w:t>
      </w:r>
    </w:p>
    <w:p w:rsidR="009168FD" w:rsidRPr="00ED3047" w:rsidRDefault="009168FD" w:rsidP="00ED3047">
      <w:pPr>
        <w:pStyle w:val="a3"/>
        <w:numPr>
          <w:ilvl w:val="0"/>
          <w:numId w:val="12"/>
        </w:numPr>
        <w:autoSpaceDE w:val="0"/>
        <w:autoSpaceDN w:val="0"/>
        <w:adjustRightInd w:val="0"/>
        <w:ind w:leftChars="0" w:left="1418" w:hanging="42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A 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學系＋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B 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學系＋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C 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學系＝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A(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或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B)(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或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C)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學系</w:t>
      </w:r>
    </w:p>
    <w:p w:rsidR="009168FD" w:rsidRPr="00ED3047" w:rsidRDefault="009168FD" w:rsidP="00ED3047">
      <w:pPr>
        <w:pStyle w:val="a3"/>
        <w:numPr>
          <w:ilvl w:val="0"/>
          <w:numId w:val="8"/>
        </w:numPr>
        <w:autoSpaceDE w:val="0"/>
        <w:autoSpaceDN w:val="0"/>
        <w:adjustRightInd w:val="0"/>
        <w:ind w:leftChars="0" w:left="993" w:hanging="28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整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併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並更名：指既有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1 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個以上系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、所，整合為單一之系、所後，並更名者。例如：「公共衛生學系」與「環境醫學研究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>所」整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併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並更名為「公共衛生暨環境醫學系」。</w:t>
      </w:r>
    </w:p>
    <w:p w:rsidR="009168FD" w:rsidRPr="00ED3047" w:rsidRDefault="009168FD" w:rsidP="00ED3047">
      <w:pPr>
        <w:pStyle w:val="a3"/>
        <w:numPr>
          <w:ilvl w:val="0"/>
          <w:numId w:val="8"/>
        </w:numPr>
        <w:autoSpaceDE w:val="0"/>
        <w:autoSpaceDN w:val="0"/>
        <w:adjustRightInd w:val="0"/>
        <w:ind w:leftChars="0" w:left="993" w:hanging="28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更名：指既有院、系、所、學位學程名稱變更，例如：畜產學系更名為動物科學系。</w:t>
      </w:r>
    </w:p>
    <w:p w:rsidR="009168FD" w:rsidRPr="00ED3047" w:rsidRDefault="009168FD" w:rsidP="00ED3047">
      <w:pPr>
        <w:autoSpaceDE w:val="0"/>
        <w:autoSpaceDN w:val="0"/>
        <w:adjustRightInd w:val="0"/>
        <w:ind w:left="993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整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併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或更名案應經校內審慎討論、建立共識，通過校內相關會議後方提出申請，並應充分考量學生權益。</w:t>
      </w:r>
    </w:p>
    <w:p w:rsidR="009168FD" w:rsidRPr="00ED3047" w:rsidRDefault="009168FD" w:rsidP="00ED3047">
      <w:pPr>
        <w:pStyle w:val="a3"/>
        <w:numPr>
          <w:ilvl w:val="0"/>
          <w:numId w:val="13"/>
        </w:numPr>
        <w:autoSpaceDE w:val="0"/>
        <w:autoSpaceDN w:val="0"/>
        <w:adjustRightInd w:val="0"/>
        <w:ind w:leftChars="0" w:left="1418" w:hanging="567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申請更名者，若經查近年來更名過於頻繁，致影響學生受教權益者，本部得不同意。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若學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系、學院學士班、學士學位學程於近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3 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學年度內（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105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106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107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）；研究所、碩士學位學程、博士學位學程於近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2 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學年度內（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106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107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）曾整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併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、更名獲准，不得申請整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併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、更名。</w:t>
      </w:r>
    </w:p>
    <w:p w:rsidR="009168FD" w:rsidRPr="00ED3047" w:rsidRDefault="009168FD" w:rsidP="007655EE">
      <w:pPr>
        <w:pStyle w:val="a3"/>
        <w:numPr>
          <w:ilvl w:val="0"/>
          <w:numId w:val="13"/>
        </w:numPr>
        <w:autoSpaceDE w:val="0"/>
        <w:autoSpaceDN w:val="0"/>
        <w:adjustRightInd w:val="0"/>
        <w:ind w:leftChars="0" w:left="1418" w:hanging="42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整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併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或更名後，與原有領域差異過大者，應以新增案方式申請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不應因更名或整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併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變更學位證書之領域別，例如原為教育領域更名後為管理領域，將不予同意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；若以調整案（整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併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、更名、分組等）提出申請，本部將不予同意。</w:t>
      </w:r>
    </w:p>
    <w:p w:rsidR="009168FD" w:rsidRPr="00ED3047" w:rsidRDefault="009168FD" w:rsidP="00ED3047">
      <w:pPr>
        <w:pStyle w:val="a3"/>
        <w:numPr>
          <w:ilvl w:val="0"/>
          <w:numId w:val="8"/>
        </w:numPr>
        <w:autoSpaceDE w:val="0"/>
        <w:autoSpaceDN w:val="0"/>
        <w:adjustRightInd w:val="0"/>
        <w:ind w:leftChars="0" w:left="993" w:hanging="284"/>
        <w:rPr>
          <w:rFonts w:ascii="Times New Roman" w:eastAsia="標楷體" w:hAnsi="Times New Roman" w:cs="Times New Roman"/>
          <w:kern w:val="0"/>
          <w:sz w:val="28"/>
          <w:szCs w:val="28"/>
        </w:rPr>
      </w:pP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停招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：指既有院、系、所、學位學程自核定學年度起不再招收學生，但既有單位組織仍存在。例如：</w:t>
      </w:r>
    </w:p>
    <w:p w:rsidR="009168FD" w:rsidRPr="00ED3047" w:rsidRDefault="009168FD" w:rsidP="00ED304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 w:left="1418" w:hanging="42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A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學系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108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學年度停止招生，未來可能單純從事研究或支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>援其他院、系、所、學位學程之教學。但學系（所）仍有在學學生者，不得申請裁撤。</w:t>
      </w:r>
    </w:p>
    <w:p w:rsidR="009168FD" w:rsidRPr="00ED3047" w:rsidRDefault="009168FD" w:rsidP="00ED304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 w:left="1418" w:hanging="42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部分院、系、所、學位學程申請隔年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或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2 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年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招生，仍應於每年招生名額分配表呈現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招生名額可填列「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0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」，但須於備註欄說明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，不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列為停招案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，請各校勿逕自將院、系、所及學位學程認定為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隔年招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，如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屬停招仍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請確實依程序提報申請。依本部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104 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年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10 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27 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臺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教高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四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字第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1040141352 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號函示，除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經教育部核准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得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採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隔年招生之碩士在職專班，各校碩士在職專班應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採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每年招生。</w:t>
      </w:r>
    </w:p>
    <w:p w:rsidR="009168FD" w:rsidRPr="00ED3047" w:rsidRDefault="009168FD" w:rsidP="00ED304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 w:left="1418" w:hanging="42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系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所停招涉及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學生權益重大，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停招視為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系所裁撤之過渡期，不應任意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停招後復招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。系所申請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復招者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，其最近一學年度師資質量應達基準，並應於表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6(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表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6-1 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或表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6-2)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提報，同意後始得辦理。</w:t>
      </w:r>
    </w:p>
    <w:p w:rsidR="009168FD" w:rsidRPr="00ED3047" w:rsidRDefault="009168FD" w:rsidP="00ED304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 w:left="1418" w:hanging="42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本部核定之人才培育計畫（如國際研究生學程、數位學習碩士在職專班），該班別之辦理係本部按計畫逐年核定，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爰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前開班別如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108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學年度未辦理者，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不視為停招案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，無須依總量期程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提報停招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9168FD" w:rsidRPr="00ED3047" w:rsidRDefault="009168FD" w:rsidP="00ED304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 w:left="1418" w:hanging="42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公立大學如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規劃停招日間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學制或進修學制學士班，應具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>體敘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明停招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原因，並檢附近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3 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年招生現況（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104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105 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及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106 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學年度註冊率）等資料到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部憑核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9168FD" w:rsidRPr="00ED3047" w:rsidRDefault="009168FD" w:rsidP="00ED3047">
      <w:pPr>
        <w:pStyle w:val="a3"/>
        <w:numPr>
          <w:ilvl w:val="0"/>
          <w:numId w:val="8"/>
        </w:numPr>
        <w:autoSpaceDE w:val="0"/>
        <w:autoSpaceDN w:val="0"/>
        <w:adjustRightInd w:val="0"/>
        <w:ind w:leftChars="0" w:left="993" w:hanging="28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裁撤：指既有院、系、所、學位學程在停止招生，且已無在學學生後，消滅既有單位組織。例如：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A 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學系自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96 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學年度停止招生，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若學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校確認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108 </w:t>
      </w: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學年度已無在學學生，學校得裁撤該系。</w:t>
      </w:r>
    </w:p>
    <w:p w:rsidR="009168FD" w:rsidRPr="00ED3047" w:rsidRDefault="009168FD" w:rsidP="00ED3047">
      <w:pPr>
        <w:autoSpaceDE w:val="0"/>
        <w:autoSpaceDN w:val="0"/>
        <w:adjustRightInd w:val="0"/>
        <w:ind w:left="960" w:firstLine="480"/>
        <w:rPr>
          <w:rFonts w:ascii="Times New Roman" w:eastAsia="標楷體" w:hAnsi="Times New Roman" w:cs="Times New Roman"/>
          <w:kern w:val="0"/>
          <w:sz w:val="28"/>
          <w:szCs w:val="28"/>
        </w:rPr>
      </w:pP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停招及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裁撤案務必確實提報，如查未經本部同意即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逕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予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停招或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裁撤者，屬重大行政違失，將列為審核經費獎補助</w:t>
      </w:r>
      <w:proofErr w:type="gramStart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之參據</w:t>
      </w:r>
      <w:proofErr w:type="gramEnd"/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9168FD" w:rsidRPr="00ED3047" w:rsidRDefault="009168FD" w:rsidP="00ED3047">
      <w:pPr>
        <w:pStyle w:val="a3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Chars="0" w:left="1276" w:hanging="567"/>
        <w:rPr>
          <w:rFonts w:ascii="Times New Roman" w:eastAsia="標楷體" w:hAnsi="Times New Roman" w:cs="Times New Roman"/>
        </w:rPr>
      </w:pPr>
      <w:r w:rsidRPr="00ED3047">
        <w:rPr>
          <w:rFonts w:ascii="Times New Roman" w:eastAsia="標楷體" w:hAnsi="Times New Roman" w:cs="Times New Roman"/>
          <w:kern w:val="0"/>
          <w:sz w:val="28"/>
          <w:szCs w:val="28"/>
        </w:rPr>
        <w:t>外國學生專班：應依總量提報作業程序及時程辦理，並請於申請說明註記為外國學生專班。</w:t>
      </w:r>
    </w:p>
    <w:sectPr w:rsidR="009168FD" w:rsidRPr="00ED30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F48"/>
    <w:multiLevelType w:val="hybridMultilevel"/>
    <w:tmpl w:val="77346EA0"/>
    <w:lvl w:ilvl="0" w:tplc="07A24152">
      <w:start w:val="1"/>
      <w:numFmt w:val="decimal"/>
      <w:lvlText w:val="(%1)"/>
      <w:lvlJc w:val="left"/>
      <w:pPr>
        <w:ind w:left="193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D16381E"/>
    <w:multiLevelType w:val="hybridMultilevel"/>
    <w:tmpl w:val="D144D08C"/>
    <w:lvl w:ilvl="0" w:tplc="179AD7B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CC13A1"/>
    <w:multiLevelType w:val="hybridMultilevel"/>
    <w:tmpl w:val="7256AE16"/>
    <w:lvl w:ilvl="0" w:tplc="D0444142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467E64"/>
    <w:multiLevelType w:val="hybridMultilevel"/>
    <w:tmpl w:val="2F0A070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35E556F3"/>
    <w:multiLevelType w:val="hybridMultilevel"/>
    <w:tmpl w:val="2474C0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B82921C">
      <w:start w:val="1"/>
      <w:numFmt w:val="upperLetter"/>
      <w:lvlText w:val="%2."/>
      <w:lvlJc w:val="left"/>
      <w:pPr>
        <w:ind w:left="48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3539F6"/>
    <w:multiLevelType w:val="hybridMultilevel"/>
    <w:tmpl w:val="C44AE4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3522AE6">
      <w:start w:val="1"/>
      <w:numFmt w:val="decimal"/>
      <w:lvlText w:val="%2."/>
      <w:lvlJc w:val="left"/>
      <w:pPr>
        <w:ind w:left="615" w:hanging="135"/>
      </w:pPr>
      <w:rPr>
        <w:rFonts w:ascii="Times New Roman" w:hAnsi="Times New Roman" w:cs="Times New Roman" w:hint="default"/>
      </w:rPr>
    </w:lvl>
    <w:lvl w:ilvl="2" w:tplc="094E77E6">
      <w:start w:val="1"/>
      <w:numFmt w:val="taiwaneseCountingThousand"/>
      <w:lvlText w:val="（%3）"/>
      <w:lvlJc w:val="left"/>
      <w:pPr>
        <w:ind w:left="1815" w:hanging="855"/>
      </w:pPr>
      <w:rPr>
        <w:rFonts w:hint="default"/>
      </w:rPr>
    </w:lvl>
    <w:lvl w:ilvl="3" w:tplc="D0444142">
      <w:start w:val="1"/>
      <w:numFmt w:val="decimal"/>
      <w:lvlText w:val="(%4)"/>
      <w:lvlJc w:val="left"/>
      <w:pPr>
        <w:ind w:left="1680" w:hanging="240"/>
      </w:pPr>
      <w:rPr>
        <w:rFonts w:ascii="Times New Roman" w:hAnsi="Times New Roman" w:cs="Times New Roman" w:hint="default"/>
      </w:rPr>
    </w:lvl>
    <w:lvl w:ilvl="4" w:tplc="4572AA1E">
      <w:start w:val="1"/>
      <w:numFmt w:val="taiwaneseCountingThousand"/>
      <w:lvlText w:val="(%5)"/>
      <w:lvlJc w:val="left"/>
      <w:pPr>
        <w:ind w:left="192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0512AC"/>
    <w:multiLevelType w:val="hybridMultilevel"/>
    <w:tmpl w:val="77346EA0"/>
    <w:lvl w:ilvl="0" w:tplc="07A24152">
      <w:start w:val="1"/>
      <w:numFmt w:val="decimal"/>
      <w:lvlText w:val="(%1)"/>
      <w:lvlJc w:val="left"/>
      <w:pPr>
        <w:ind w:left="193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5DA259F8"/>
    <w:multiLevelType w:val="hybridMultilevel"/>
    <w:tmpl w:val="9F12F242"/>
    <w:lvl w:ilvl="0" w:tplc="01BE5684">
      <w:start w:val="1"/>
      <w:numFmt w:val="lowerLetter"/>
      <w:lvlText w:val="%1."/>
      <w:lvlJc w:val="left"/>
      <w:pPr>
        <w:ind w:left="15" w:hanging="15"/>
      </w:pPr>
      <w:rPr>
        <w:rFonts w:hint="default"/>
      </w:rPr>
    </w:lvl>
    <w:lvl w:ilvl="1" w:tplc="5364AA82">
      <w:start w:val="1"/>
      <w:numFmt w:val="decimal"/>
      <w:lvlText w:val="%2."/>
      <w:lvlJc w:val="left"/>
      <w:pPr>
        <w:ind w:left="495" w:hanging="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814F7F"/>
    <w:multiLevelType w:val="hybridMultilevel"/>
    <w:tmpl w:val="77346EA0"/>
    <w:lvl w:ilvl="0" w:tplc="07A24152">
      <w:start w:val="1"/>
      <w:numFmt w:val="decimal"/>
      <w:lvlText w:val="(%1)"/>
      <w:lvlJc w:val="left"/>
      <w:pPr>
        <w:ind w:left="193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FC51D2B"/>
    <w:multiLevelType w:val="hybridMultilevel"/>
    <w:tmpl w:val="3EC20934"/>
    <w:lvl w:ilvl="0" w:tplc="C27A5020">
      <w:start w:val="1"/>
      <w:numFmt w:val="taiwaneseCountingThousand"/>
      <w:lvlText w:val="(%1)"/>
      <w:lvlJc w:val="left"/>
      <w:pPr>
        <w:ind w:left="480" w:hanging="48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CB686D"/>
    <w:multiLevelType w:val="hybridMultilevel"/>
    <w:tmpl w:val="CD025460"/>
    <w:lvl w:ilvl="0" w:tplc="D0444142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D40CDF"/>
    <w:multiLevelType w:val="hybridMultilevel"/>
    <w:tmpl w:val="C45A482C"/>
    <w:lvl w:ilvl="0" w:tplc="C7BCF0B4">
      <w:start w:val="1"/>
      <w:numFmt w:val="taiwaneseCountingThousand"/>
      <w:lvlText w:val="(%1)"/>
      <w:lvlJc w:val="left"/>
      <w:pPr>
        <w:ind w:left="120" w:hanging="1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726BA2"/>
    <w:multiLevelType w:val="hybridMultilevel"/>
    <w:tmpl w:val="77346EA0"/>
    <w:lvl w:ilvl="0" w:tplc="07A24152">
      <w:start w:val="1"/>
      <w:numFmt w:val="decimal"/>
      <w:lvlText w:val="(%1)"/>
      <w:lvlJc w:val="left"/>
      <w:pPr>
        <w:ind w:left="193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7C8726F2"/>
    <w:multiLevelType w:val="hybridMultilevel"/>
    <w:tmpl w:val="77346EA0"/>
    <w:lvl w:ilvl="0" w:tplc="07A24152">
      <w:start w:val="1"/>
      <w:numFmt w:val="decimal"/>
      <w:lvlText w:val="(%1)"/>
      <w:lvlJc w:val="left"/>
      <w:pPr>
        <w:ind w:left="193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6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FD"/>
    <w:rsid w:val="00271ED8"/>
    <w:rsid w:val="009168FD"/>
    <w:rsid w:val="00ED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58C58"/>
  <w15:chartTrackingRefBased/>
  <w15:docId w15:val="{CEA16DF6-2404-47EC-8486-E2CD9CCF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8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2018-10-29T05:25:00Z</dcterms:created>
  <dcterms:modified xsi:type="dcterms:W3CDTF">2018-10-29T05:48:00Z</dcterms:modified>
</cp:coreProperties>
</file>